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E0" w:rsidRPr="005E35E0" w:rsidRDefault="005E35E0" w:rsidP="005E35E0">
      <w:pPr>
        <w:pStyle w:val="1"/>
        <w:numPr>
          <w:ilvl w:val="0"/>
          <w:numId w:val="0"/>
        </w:numPr>
        <w:shd w:val="clear" w:color="auto" w:fill="FFFFFF"/>
        <w:spacing w:before="0" w:after="150"/>
        <w:rPr>
          <w:rFonts w:eastAsia="Times New Roman" w:cs="Times New Roman"/>
          <w:color w:val="000000"/>
          <w:sz w:val="30"/>
          <w:szCs w:val="30"/>
        </w:rPr>
      </w:pPr>
      <w:bookmarkStart w:id="0" w:name="_GoBack"/>
      <w:bookmarkEnd w:id="0"/>
      <w:r w:rsidRPr="005E35E0">
        <w:rPr>
          <w:rFonts w:eastAsia="Times New Roman" w:cs="Times New Roman"/>
          <w:bCs/>
          <w:color w:val="000000"/>
          <w:sz w:val="30"/>
          <w:szCs w:val="30"/>
        </w:rPr>
        <w:t>Родителям свердловских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5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Екатеринбурге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, или в другом городе </w:t>
      </w:r>
      <w:hyperlink r:id="rId6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Свердловской области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5E35E0" w:rsidRDefault="005E35E0" w:rsidP="005E35E0">
      <w:pPr>
        <w:pStyle w:val="ae"/>
        <w:shd w:val="clear" w:color="auto" w:fill="FFFFFF"/>
        <w:rPr>
          <w:color w:val="202020"/>
        </w:rPr>
      </w:pPr>
      <w:r w:rsidRPr="005E35E0">
        <w:rPr>
          <w:color w:val="202020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7" w:history="1">
        <w:r w:rsidRPr="005E35E0">
          <w:rPr>
            <w:rStyle w:val="aff8"/>
            <w:color w:val="2861CA"/>
          </w:rPr>
          <w:t>официальном портале</w:t>
        </w:r>
      </w:hyperlink>
      <w:r w:rsidRPr="005E35E0">
        <w:rPr>
          <w:color w:val="202020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AC"/>
    <w:rsid w:val="00057157"/>
    <w:rsid w:val="00085C17"/>
    <w:rsid w:val="000D0862"/>
    <w:rsid w:val="0015491C"/>
    <w:rsid w:val="001572E3"/>
    <w:rsid w:val="001F5A0B"/>
    <w:rsid w:val="002165C3"/>
    <w:rsid w:val="00371F33"/>
    <w:rsid w:val="003A25D7"/>
    <w:rsid w:val="004A4AA4"/>
    <w:rsid w:val="004E2636"/>
    <w:rsid w:val="004E30BA"/>
    <w:rsid w:val="005558C7"/>
    <w:rsid w:val="005E35E0"/>
    <w:rsid w:val="00605E51"/>
    <w:rsid w:val="00664689"/>
    <w:rsid w:val="006A472D"/>
    <w:rsid w:val="006C53F4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E1777A-CE80-449E-BCCA-A17C2F8B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2019-11-07T10:54:00Z</cp:lastPrinted>
  <dcterms:created xsi:type="dcterms:W3CDTF">2019-11-19T06:22:00Z</dcterms:created>
  <dcterms:modified xsi:type="dcterms:W3CDTF">2019-11-19T06:22:00Z</dcterms:modified>
</cp:coreProperties>
</file>